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spacing w:after="0" w:line="570" w:lineRule="exact"/>
        <w:jc w:val="both"/>
        <w:outlineLvl w:val="9"/>
        <w:rPr>
          <w:rFonts w:ascii="黑体" w:hAnsi="黑体" w:eastAsia="PMingLiU"/>
          <w:color w:val="auto"/>
          <w:sz w:val="32"/>
        </w:rPr>
      </w:pPr>
      <w:bookmarkStart w:id="0" w:name="bookmark28"/>
      <w:bookmarkStart w:id="1" w:name="bookmark27"/>
      <w:bookmarkStart w:id="2" w:name="bookmark26"/>
      <w:r>
        <w:rPr>
          <w:rFonts w:hint="eastAsia" w:ascii="黑体" w:hAnsi="黑体" w:eastAsia="黑体"/>
          <w:color w:val="auto"/>
          <w:sz w:val="32"/>
        </w:rPr>
        <w:t>附件</w:t>
      </w:r>
    </w:p>
    <w:p>
      <w:pPr>
        <w:pStyle w:val="4"/>
        <w:keepNext/>
        <w:keepLines/>
        <w:spacing w:after="0" w:line="640" w:lineRule="exact"/>
        <w:outlineLvl w:val="0"/>
        <w:rPr>
          <w:rFonts w:ascii="Times New Roman" w:hAnsi="黑体" w:eastAsia="方正小标宋简体"/>
          <w:color w:val="auto"/>
          <w:sz w:val="44"/>
        </w:rPr>
      </w:pPr>
    </w:p>
    <w:p>
      <w:pPr>
        <w:pStyle w:val="4"/>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hAnsi="Times New Roman" w:eastAsia="方正小标宋简体"/>
          <w:sz w:val="44"/>
          <w:szCs w:val="44"/>
          <w:lang w:val="en-US" w:eastAsia="zh-CN"/>
        </w:rPr>
        <w:t>三</w:t>
      </w:r>
      <w:r>
        <w:rPr>
          <w:rFonts w:ascii="Times New Roman" w:eastAsia="方正小标宋简体"/>
          <w:color w:val="39413F"/>
          <w:sz w:val="44"/>
        </w:rPr>
        <w:t>项</w:t>
      </w:r>
    </w:p>
    <w:p>
      <w:pPr>
        <w:pStyle w:val="4"/>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整改任务完成情况表</w:t>
      </w:r>
      <w:bookmarkEnd w:id="0"/>
      <w:bookmarkEnd w:id="1"/>
      <w:bookmarkEnd w:id="2"/>
    </w:p>
    <w:p>
      <w:pPr>
        <w:pStyle w:val="4"/>
        <w:keepNext/>
        <w:keepLines/>
        <w:spacing w:after="0" w:line="640" w:lineRule="exact"/>
        <w:outlineLvl w:val="0"/>
        <w:rPr>
          <w:rFonts w:ascii="Times New Roman" w:eastAsia="方正小标宋简体"/>
          <w:sz w:val="44"/>
        </w:rPr>
      </w:pPr>
    </w:p>
    <w:tbl>
      <w:tblPr>
        <w:tblStyle w:val="2"/>
        <w:tblW w:w="9096" w:type="dxa"/>
        <w:jc w:val="center"/>
        <w:tblLayout w:type="fixed"/>
        <w:tblCellMar>
          <w:top w:w="0" w:type="dxa"/>
          <w:left w:w="10" w:type="dxa"/>
          <w:bottom w:w="0" w:type="dxa"/>
          <w:right w:w="10" w:type="dxa"/>
        </w:tblCellMar>
      </w:tblPr>
      <w:tblGrid>
        <w:gridCol w:w="2109"/>
        <w:gridCol w:w="6987"/>
      </w:tblGrid>
      <w:tr>
        <w:tblPrEx>
          <w:tblCellMar>
            <w:top w:w="0" w:type="dxa"/>
            <w:left w:w="10" w:type="dxa"/>
            <w:bottom w:w="0" w:type="dxa"/>
            <w:right w:w="10" w:type="dxa"/>
          </w:tblCellMar>
        </w:tblPrEx>
        <w:trPr>
          <w:trHeight w:val="3370" w:hRule="exact"/>
          <w:jc w:val="center"/>
        </w:trPr>
        <w:tc>
          <w:tcPr>
            <w:tcW w:w="2109" w:type="dxa"/>
            <w:tcBorders>
              <w:top w:val="single" w:color="auto" w:sz="4" w:space="0"/>
              <w:left w:val="single" w:color="auto" w:sz="4" w:space="0"/>
            </w:tcBorders>
            <w:shd w:val="clear" w:color="auto" w:fill="FFFFFF"/>
            <w:vAlign w:val="center"/>
          </w:tcPr>
          <w:p>
            <w:pPr>
              <w:pStyle w:val="5"/>
              <w:spacing w:line="560" w:lineRule="exact"/>
              <w:ind w:firstLine="0"/>
              <w:jc w:val="center"/>
              <w:outlineLvl w:val="1"/>
              <w:rPr>
                <w:rFonts w:ascii="Times New Roman" w:hAnsi="Times New Roman" w:eastAsia="黑体" w:cs="Times New Roman"/>
              </w:rPr>
            </w:pPr>
            <w:r>
              <w:rPr>
                <w:rFonts w:ascii="Times New Roman" w:hAnsi="Times New Roman" w:eastAsia="黑体" w:cs="Times New Roman"/>
                <w:color w:val="39413F"/>
              </w:rPr>
              <w:t>整改任务</w:t>
            </w:r>
          </w:p>
        </w:tc>
        <w:tc>
          <w:tcPr>
            <w:tcW w:w="6987" w:type="dxa"/>
            <w:tcBorders>
              <w:top w:val="single" w:color="auto" w:sz="4" w:space="0"/>
              <w:left w:val="single" w:color="auto" w:sz="4" w:space="0"/>
              <w:right w:val="single" w:color="auto" w:sz="4" w:space="0"/>
            </w:tcBorders>
            <w:shd w:val="clear" w:color="auto" w:fill="FFFFFF"/>
            <w:vAlign w:val="center"/>
          </w:tcPr>
          <w:p>
            <w:pPr>
              <w:spacing w:line="550" w:lineRule="exact"/>
              <w:ind w:left="160" w:leftChars="50" w:right="160" w:rightChars="50"/>
              <w:jc w:val="both"/>
              <w:rPr>
                <w:rFonts w:eastAsia="仿宋_GB2312"/>
                <w:szCs w:val="32"/>
                <w:lang w:eastAsia="zh-CN"/>
              </w:rPr>
            </w:pPr>
            <w:r>
              <w:rPr>
                <w:rFonts w:eastAsia="仿宋_GB2312"/>
                <w:szCs w:val="32"/>
                <w:lang w:eastAsia="zh-CN"/>
              </w:rPr>
              <w:t>第三轮省级生态环境保护督察第</w:t>
            </w:r>
            <w:r>
              <w:rPr>
                <w:rFonts w:hint="eastAsia" w:eastAsia="仿宋_GB2312"/>
                <w:szCs w:val="32"/>
                <w:lang w:val="en-US" w:eastAsia="zh-CN"/>
              </w:rPr>
              <w:t>三</w:t>
            </w:r>
            <w:r>
              <w:rPr>
                <w:rFonts w:eastAsia="仿宋_GB2312"/>
                <w:szCs w:val="32"/>
                <w:lang w:eastAsia="zh-CN"/>
              </w:rPr>
              <w:t>项整改任务：</w:t>
            </w:r>
          </w:p>
          <w:p>
            <w:pPr>
              <w:spacing w:line="550" w:lineRule="exact"/>
              <w:ind w:left="160" w:leftChars="50" w:right="160" w:rightChars="50"/>
              <w:jc w:val="both"/>
              <w:rPr>
                <w:rFonts w:eastAsia="仿宋_GB2312"/>
                <w:szCs w:val="32"/>
                <w:lang w:eastAsia="zh-CN"/>
              </w:rPr>
            </w:pPr>
            <w:r>
              <w:rPr>
                <w:rFonts w:hint="eastAsia" w:eastAsia="仿宋_GB2312"/>
                <w:szCs w:val="32"/>
                <w:lang w:eastAsia="zh-CN"/>
              </w:rPr>
              <w:t>2021年，交通运输厅出台《关于进一步加强和规范我省高速公路建设项目环境保护费用管理工作的通知》，但部分项目未严格落实环境保护专项费用相关要求，项目环保资金预算不足，环保运维资金保障不利。</w:t>
            </w:r>
          </w:p>
        </w:tc>
      </w:tr>
      <w:tr>
        <w:tblPrEx>
          <w:tblCellMar>
            <w:top w:w="0" w:type="dxa"/>
            <w:left w:w="10" w:type="dxa"/>
            <w:bottom w:w="0" w:type="dxa"/>
            <w:right w:w="10" w:type="dxa"/>
          </w:tblCellMar>
        </w:tblPrEx>
        <w:trPr>
          <w:trHeight w:val="982" w:hRule="exact"/>
          <w:jc w:val="center"/>
        </w:trPr>
        <w:tc>
          <w:tcPr>
            <w:tcW w:w="2109" w:type="dxa"/>
            <w:tcBorders>
              <w:top w:val="single" w:color="auto" w:sz="4" w:space="0"/>
              <w:left w:val="single" w:color="auto" w:sz="4" w:space="0"/>
            </w:tcBorders>
            <w:shd w:val="clear" w:color="auto" w:fill="FFFFFF"/>
            <w:vAlign w:val="center"/>
          </w:tcPr>
          <w:p>
            <w:pPr>
              <w:pStyle w:val="5"/>
              <w:spacing w:line="560" w:lineRule="exact"/>
              <w:ind w:firstLine="0"/>
              <w:jc w:val="center"/>
              <w:outlineLvl w:val="1"/>
              <w:rPr>
                <w:rFonts w:ascii="Times New Roman" w:hAnsi="Times New Roman" w:eastAsia="黑体" w:cs="Times New Roman"/>
              </w:rPr>
            </w:pPr>
            <w:r>
              <w:rPr>
                <w:rFonts w:ascii="Times New Roman" w:hAnsi="Times New Roman" w:eastAsia="黑体" w:cs="Times New Roman"/>
                <w:color w:val="39413F"/>
              </w:rPr>
              <w:t>整改责任单位</w:t>
            </w:r>
          </w:p>
        </w:tc>
        <w:tc>
          <w:tcPr>
            <w:tcW w:w="6987" w:type="dxa"/>
            <w:tcBorders>
              <w:top w:val="single" w:color="auto" w:sz="4" w:space="0"/>
              <w:left w:val="single" w:color="auto" w:sz="4" w:space="0"/>
              <w:right w:val="single" w:color="auto" w:sz="4" w:space="0"/>
            </w:tcBorders>
            <w:shd w:val="clear" w:color="auto" w:fill="FFFFFF"/>
            <w:vAlign w:val="center"/>
          </w:tcPr>
          <w:p>
            <w:pPr>
              <w:spacing w:line="550" w:lineRule="exact"/>
              <w:ind w:left="160" w:leftChars="50" w:right="160" w:rightChars="50"/>
              <w:jc w:val="center"/>
              <w:rPr>
                <w:rFonts w:eastAsia="仿宋_GB2312"/>
                <w:szCs w:val="32"/>
                <w:lang w:eastAsia="zh-CN"/>
              </w:rPr>
            </w:pPr>
            <w:r>
              <w:rPr>
                <w:rFonts w:hint="eastAsia" w:eastAsia="仿宋_GB2312"/>
                <w:szCs w:val="32"/>
                <w:lang w:eastAsia="zh-CN"/>
              </w:rPr>
              <w:t>四川蜀道高速公路集团有限公司</w:t>
            </w:r>
          </w:p>
        </w:tc>
      </w:tr>
      <w:tr>
        <w:tblPrEx>
          <w:tblCellMar>
            <w:top w:w="0" w:type="dxa"/>
            <w:left w:w="10" w:type="dxa"/>
            <w:bottom w:w="0" w:type="dxa"/>
            <w:right w:w="10" w:type="dxa"/>
          </w:tblCellMar>
        </w:tblPrEx>
        <w:trPr>
          <w:trHeight w:val="1354" w:hRule="exact"/>
          <w:jc w:val="center"/>
        </w:trPr>
        <w:tc>
          <w:tcPr>
            <w:tcW w:w="2109" w:type="dxa"/>
            <w:tcBorders>
              <w:top w:val="single" w:color="auto" w:sz="4" w:space="0"/>
              <w:left w:val="single" w:color="auto" w:sz="4" w:space="0"/>
            </w:tcBorders>
            <w:shd w:val="clear" w:color="auto" w:fill="FFFFFF"/>
            <w:vAlign w:val="center"/>
          </w:tcPr>
          <w:p>
            <w:pPr>
              <w:pStyle w:val="5"/>
              <w:spacing w:line="560" w:lineRule="exact"/>
              <w:ind w:firstLine="0"/>
              <w:jc w:val="center"/>
              <w:outlineLvl w:val="1"/>
              <w:rPr>
                <w:rFonts w:ascii="Times New Roman" w:hAnsi="Times New Roman" w:eastAsia="黑体" w:cs="Times New Roman"/>
              </w:rPr>
            </w:pPr>
            <w:r>
              <w:rPr>
                <w:rFonts w:ascii="Times New Roman" w:hAnsi="Times New Roman" w:eastAsia="黑体" w:cs="Times New Roman"/>
                <w:color w:val="39413F"/>
              </w:rPr>
              <w:t>整改目标</w:t>
            </w:r>
          </w:p>
        </w:tc>
        <w:tc>
          <w:tcPr>
            <w:tcW w:w="6987" w:type="dxa"/>
            <w:tcBorders>
              <w:top w:val="single" w:color="auto" w:sz="4" w:space="0"/>
              <w:left w:val="single" w:color="auto" w:sz="4" w:space="0"/>
              <w:right w:val="single" w:color="auto" w:sz="4" w:space="0"/>
            </w:tcBorders>
            <w:shd w:val="clear" w:color="auto" w:fill="FFFFFF"/>
            <w:vAlign w:val="center"/>
          </w:tcPr>
          <w:p>
            <w:pPr>
              <w:spacing w:line="550" w:lineRule="exact"/>
              <w:ind w:left="160" w:leftChars="50" w:right="160" w:rightChars="50"/>
              <w:jc w:val="both"/>
              <w:rPr>
                <w:rFonts w:eastAsia="仿宋_GB2312"/>
                <w:szCs w:val="32"/>
                <w:lang w:eastAsia="zh-CN"/>
              </w:rPr>
            </w:pPr>
            <w:r>
              <w:rPr>
                <w:rFonts w:hint="eastAsia" w:eastAsia="仿宋_GB2312"/>
                <w:color w:val="auto"/>
                <w:szCs w:val="32"/>
                <w:lang w:eastAsia="zh-CN"/>
              </w:rPr>
              <w:t>规范高速公路建设项目环境保护费用计列，保障环保投入。</w:t>
            </w:r>
          </w:p>
        </w:tc>
      </w:tr>
      <w:tr>
        <w:tblPrEx>
          <w:tblCellMar>
            <w:top w:w="0" w:type="dxa"/>
            <w:left w:w="10" w:type="dxa"/>
            <w:bottom w:w="0" w:type="dxa"/>
            <w:right w:w="10" w:type="dxa"/>
          </w:tblCellMar>
        </w:tblPrEx>
        <w:trPr>
          <w:trHeight w:val="3341" w:hRule="atLeast"/>
          <w:jc w:val="center"/>
        </w:trPr>
        <w:tc>
          <w:tcPr>
            <w:tcW w:w="2109" w:type="dxa"/>
            <w:tcBorders>
              <w:top w:val="single" w:color="auto" w:sz="4" w:space="0"/>
              <w:left w:val="single" w:color="auto" w:sz="4" w:space="0"/>
              <w:bottom w:val="single" w:color="auto" w:sz="4" w:space="0"/>
            </w:tcBorders>
            <w:shd w:val="clear" w:color="auto" w:fill="FFFFFF"/>
            <w:vAlign w:val="center"/>
          </w:tcPr>
          <w:p>
            <w:pPr>
              <w:pStyle w:val="5"/>
              <w:spacing w:line="560" w:lineRule="exact"/>
              <w:ind w:firstLine="0"/>
              <w:jc w:val="center"/>
              <w:outlineLvl w:val="1"/>
              <w:rPr>
                <w:rFonts w:ascii="Times New Roman" w:hAnsi="Times New Roman" w:eastAsia="黑体" w:cs="Times New Roman"/>
              </w:rPr>
            </w:pPr>
            <w:r>
              <w:rPr>
                <w:rFonts w:ascii="Times New Roman" w:hAnsi="Times New Roman" w:eastAsia="黑体" w:cs="Times New Roman"/>
                <w:color w:val="1F2121"/>
              </w:rPr>
              <w:t>整改措施</w:t>
            </w:r>
          </w:p>
        </w:tc>
        <w:tc>
          <w:tcPr>
            <w:tcW w:w="6987" w:type="dxa"/>
            <w:tcBorders>
              <w:top w:val="single" w:color="auto" w:sz="4" w:space="0"/>
              <w:left w:val="single" w:color="auto" w:sz="4" w:space="0"/>
              <w:bottom w:val="single" w:color="auto" w:sz="4" w:space="0"/>
              <w:right w:val="single" w:color="auto" w:sz="4" w:space="0"/>
            </w:tcBorders>
            <w:shd w:val="clear" w:color="auto" w:fill="FFFFFF"/>
          </w:tcPr>
          <w:p>
            <w:pPr>
              <w:spacing w:beforeLines="30" w:line="570" w:lineRule="exact"/>
              <w:ind w:left="160" w:leftChars="50" w:right="160" w:rightChars="50" w:firstLine="640" w:firstLineChars="200"/>
              <w:rPr>
                <w:rFonts w:eastAsia="仿宋_GB2312"/>
                <w:color w:val="auto"/>
                <w:szCs w:val="32"/>
                <w:lang w:eastAsia="zh-CN"/>
              </w:rPr>
            </w:pPr>
            <w:r>
              <w:rPr>
                <w:rFonts w:eastAsia="仿宋_GB2312"/>
                <w:color w:val="auto"/>
                <w:szCs w:val="32"/>
                <w:lang w:eastAsia="zh-CN"/>
              </w:rPr>
              <w:t>1.</w:t>
            </w:r>
            <w:r>
              <w:rPr>
                <w:rFonts w:hint="eastAsia" w:eastAsia="仿宋_GB2312"/>
                <w:color w:val="auto"/>
                <w:szCs w:val="32"/>
                <w:lang w:eastAsia="zh-CN"/>
              </w:rPr>
              <w:t>2023年8月底前，完成在建高速公路项目环保费用情况核查，制定环保费用调整计划，保障环保资金投入。</w:t>
            </w:r>
          </w:p>
          <w:p>
            <w:pPr>
              <w:spacing w:line="570" w:lineRule="exact"/>
              <w:ind w:left="160" w:leftChars="50" w:right="160" w:rightChars="50" w:firstLine="640" w:firstLineChars="200"/>
              <w:rPr>
                <w:rFonts w:eastAsia="仿宋_GB2312"/>
                <w:color w:val="auto"/>
                <w:szCs w:val="32"/>
                <w:lang w:eastAsia="zh-CN"/>
              </w:rPr>
            </w:pPr>
            <w:r>
              <w:rPr>
                <w:rFonts w:eastAsia="仿宋_GB2312"/>
                <w:color w:val="auto"/>
                <w:szCs w:val="32"/>
                <w:lang w:eastAsia="zh-CN"/>
              </w:rPr>
              <w:t>2.</w:t>
            </w:r>
            <w:r>
              <w:rPr>
                <w:rFonts w:hint="eastAsia" w:eastAsia="仿宋_GB2312"/>
                <w:color w:val="auto"/>
                <w:szCs w:val="32"/>
                <w:lang w:eastAsia="zh-CN"/>
              </w:rPr>
              <w:t>新开工高速公路项目在概预算中单独计列环保费用。</w:t>
            </w:r>
          </w:p>
        </w:tc>
      </w:tr>
      <w:tr>
        <w:tblPrEx>
          <w:tblCellMar>
            <w:top w:w="0" w:type="dxa"/>
            <w:left w:w="10" w:type="dxa"/>
            <w:bottom w:w="0" w:type="dxa"/>
            <w:right w:w="10" w:type="dxa"/>
          </w:tblCellMar>
        </w:tblPrEx>
        <w:trPr>
          <w:trHeight w:val="7361" w:hRule="atLeast"/>
          <w:jc w:val="center"/>
        </w:trPr>
        <w:tc>
          <w:tcPr>
            <w:tcW w:w="2109" w:type="dxa"/>
            <w:tcBorders>
              <w:top w:val="single" w:color="auto" w:sz="4" w:space="0"/>
              <w:left w:val="single" w:color="auto" w:sz="4" w:space="0"/>
              <w:bottom w:val="single" w:color="auto" w:sz="4" w:space="0"/>
            </w:tcBorders>
            <w:shd w:val="clear" w:color="auto" w:fill="FFFFFF"/>
            <w:vAlign w:val="center"/>
          </w:tcPr>
          <w:p>
            <w:pPr>
              <w:pStyle w:val="5"/>
              <w:spacing w:line="560" w:lineRule="exact"/>
              <w:ind w:firstLine="0"/>
              <w:jc w:val="center"/>
              <w:outlineLvl w:val="1"/>
              <w:rPr>
                <w:rFonts w:ascii="Times New Roman" w:hAnsi="Times New Roman" w:eastAsia="PMingLiU" w:cs="Times New Roman"/>
                <w:color w:val="1F2121"/>
              </w:rPr>
            </w:pPr>
            <w:r>
              <w:rPr>
                <w:rFonts w:ascii="Times New Roman" w:hAnsi="Times New Roman" w:eastAsia="黑体" w:cs="Times New Roman"/>
                <w:color w:val="1F2121"/>
              </w:rPr>
              <w:t>整改主要工作</w:t>
            </w:r>
          </w:p>
          <w:p>
            <w:pPr>
              <w:pStyle w:val="5"/>
              <w:spacing w:line="560" w:lineRule="exact"/>
              <w:ind w:firstLine="0"/>
              <w:jc w:val="center"/>
              <w:outlineLvl w:val="1"/>
              <w:rPr>
                <w:rFonts w:ascii="Times New Roman" w:hAnsi="Times New Roman" w:eastAsia="黑体" w:cs="Times New Roman"/>
              </w:rPr>
            </w:pPr>
            <w:r>
              <w:rPr>
                <w:rFonts w:ascii="Times New Roman" w:hAnsi="Times New Roman" w:eastAsia="黑体" w:cs="Times New Roman"/>
                <w:color w:val="1F2121"/>
              </w:rPr>
              <w:t>及成效</w:t>
            </w:r>
          </w:p>
        </w:tc>
        <w:tc>
          <w:tcPr>
            <w:tcW w:w="6987" w:type="dxa"/>
            <w:tcBorders>
              <w:top w:val="single" w:color="auto" w:sz="4" w:space="0"/>
              <w:left w:val="single" w:color="auto" w:sz="4" w:space="0"/>
              <w:bottom w:val="single" w:color="auto" w:sz="4" w:space="0"/>
              <w:right w:val="single" w:color="auto" w:sz="4" w:space="0"/>
            </w:tcBorders>
            <w:shd w:val="clear" w:color="auto" w:fill="FFFFFF"/>
          </w:tcPr>
          <w:p>
            <w:pPr>
              <w:spacing w:beforeLines="50" w:line="550" w:lineRule="exact"/>
              <w:ind w:left="160" w:leftChars="50" w:right="160" w:rightChars="50" w:firstLine="640" w:firstLineChars="200"/>
              <w:jc w:val="both"/>
              <w:rPr>
                <w:rFonts w:eastAsia="仿宋_GB2312"/>
                <w:szCs w:val="32"/>
                <w:lang w:eastAsia="zh-CN"/>
              </w:rPr>
            </w:pPr>
            <w:r>
              <w:rPr>
                <w:rFonts w:eastAsia="仿宋_GB2312"/>
                <w:szCs w:val="32"/>
                <w:lang w:eastAsia="zh-CN"/>
              </w:rPr>
              <w:t>1.</w:t>
            </w:r>
            <w:r>
              <w:rPr>
                <w:rFonts w:hint="eastAsia" w:eastAsia="仿宋_GB2312"/>
                <w:szCs w:val="32"/>
                <w:lang w:eastAsia="zh-CN"/>
              </w:rPr>
              <w:t>蜀道高速集团在建项目有古金高速、峨汉高速、沿江高速，环保费用核查情况如下：古金高速施工环保费占比1.12%，并已按照合同计量支付原则和周期及时支付；峨汉高速、沿江高速宁攀段和金宁段环境保护“三同时”工程措施均履行设计变更程序，后续将签订补充协议增加计列费用予以解决费用问题。</w:t>
            </w:r>
          </w:p>
          <w:p>
            <w:pPr>
              <w:spacing w:line="550" w:lineRule="exact"/>
              <w:ind w:left="160" w:leftChars="50" w:right="160" w:rightChars="50" w:firstLine="640" w:firstLineChars="200"/>
              <w:jc w:val="both"/>
              <w:rPr>
                <w:rFonts w:eastAsia="仿宋_GB2312"/>
                <w:szCs w:val="32"/>
                <w:lang w:eastAsia="zh-CN"/>
              </w:rPr>
            </w:pPr>
            <w:r>
              <w:rPr>
                <w:rFonts w:eastAsia="仿宋_GB2312"/>
                <w:szCs w:val="32"/>
                <w:lang w:eastAsia="zh-CN"/>
              </w:rPr>
              <w:t>2.</w:t>
            </w:r>
            <w:r>
              <w:rPr>
                <w:rFonts w:hint="eastAsia" w:eastAsia="仿宋_GB2312"/>
                <w:szCs w:val="32"/>
                <w:lang w:eastAsia="zh-CN"/>
              </w:rPr>
              <w:t>蜀道高速集团新开工项目有西香高速、乐资铜高速、镇广高速和会禄高速，环保费用核查情况如下：西香高速已按建安费0.5%计提施工环保费用，并已预支20%至施工单位，满足日常环保工作使用；乐资铜高速铜资段已将施工环保费用按0.5%计取，并在工程量清单第100章中单独计列；乐资铜高速资乐段目前处于施设预算报批阶段；镇广高速川王段、通广段已将施工环保费用按0.5%计取，满足日常环保工作使用；会禄高速现未开工，工程量清单按环境保护专项费用要求正在编制中。</w:t>
            </w:r>
          </w:p>
          <w:p>
            <w:pPr>
              <w:spacing w:line="550" w:lineRule="exact"/>
              <w:ind w:left="160" w:leftChars="50" w:right="160" w:rightChars="50" w:firstLine="640" w:firstLineChars="200"/>
              <w:jc w:val="both"/>
              <w:rPr>
                <w:rFonts w:eastAsia="仿宋_GB2312"/>
                <w:szCs w:val="32"/>
                <w:lang w:eastAsia="zh-CN"/>
              </w:rPr>
            </w:pPr>
          </w:p>
        </w:tc>
      </w:tr>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YzkwNzRjMzM5ZWMxYzBkZGY5NjMzNGViNTU4MGQifQ=="/>
  </w:docVars>
  <w:rsids>
    <w:rsidRoot w:val="4A617876"/>
    <w:rsid w:val="35065E35"/>
    <w:rsid w:val="4A617876"/>
    <w:rsid w:val="4AFE78C0"/>
    <w:rsid w:val="74141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5">
    <w:name w:val="Other|1"/>
    <w:basedOn w:val="1"/>
    <w:qFormat/>
    <w:uiPriority w:val="0"/>
    <w:pPr>
      <w:spacing w:line="374" w:lineRule="auto"/>
      <w:ind w:firstLine="400"/>
    </w:pPr>
    <w:rPr>
      <w:rFonts w:ascii="宋体" w:hAnsi="宋体" w:eastAsia="宋体" w:cs="宋体"/>
      <w:szCs w:val="32"/>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2023-09-27T04:34:00Z</dcterms:created>
  <dc:creator>胖胖是只布偶猫</dc:creator>
  <cp:lastModifiedBy>胖胖是只布偶猫</cp:lastModifiedBy>
  <dcterms:modified xsi:type="dcterms:W3CDTF">2023-09-27T04:34:47Z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5FBC7625129E40C3BC67CC5E51D2C898_11</vt:lpwstr>
  </property>
</Properties>
</file>